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tbl>
      <w:tblPr>
        <w:tblStyle w:val="Table1"/>
        <w:tblW w:w="9606.0" w:type="dxa"/>
        <w:jc w:val="left"/>
        <w:tblInd w:w="10.0" w:type="dxa"/>
        <w:tblBorders>
          <w:top w:color="d5d5d5" w:space="0" w:sz="4" w:val="single"/>
          <w:bottom w:color="d5d5d5" w:space="0" w:sz="4" w:val="single"/>
        </w:tblBorders>
        <w:tblLayout w:type="fixed"/>
        <w:tblLook w:val="0000"/>
      </w:tblPr>
      <w:tblGrid>
        <w:gridCol w:w="7685"/>
        <w:gridCol w:w="1921"/>
        <w:tblGridChange w:id="0">
          <w:tblGrid>
            <w:gridCol w:w="7685"/>
            <w:gridCol w:w="1921"/>
          </w:tblGrid>
        </w:tblGridChange>
      </w:tblGrid>
      <w:tr>
        <w:trPr>
          <w:cantSplit w:val="0"/>
          <w:tblHeader w:val="0"/>
        </w:trPr>
        <w:tc>
          <w:tcPr>
            <w:shd w:fill="efefef" w:val="clear"/>
            <w:tcMar>
              <w:bottom w:w="0.0" w:type="dxa"/>
            </w:tcMar>
          </w:tcPr>
          <w:p w:rsidR="00000000" w:rsidDel="00000000" w:rsidP="00000000" w:rsidRDefault="00000000" w:rsidRPr="00000000" w14:paraId="00000002">
            <w:pPr>
              <w:spacing w:after="0" w:lineRule="auto"/>
              <w:rPr/>
            </w:pPr>
            <w:r w:rsidDel="00000000" w:rsidR="00000000" w:rsidRPr="00000000">
              <w:rPr>
                <w:rFonts w:ascii="Lato Black" w:cs="Lato Black" w:eastAsia="Lato Black" w:hAnsi="Lato Black"/>
                <w:b w:val="1"/>
                <w:rtl w:val="0"/>
              </w:rPr>
              <w:t xml:space="preserve">Policy 210.05: Meeting Notice</w:t>
            </w:r>
            <w:r w:rsidDel="00000000" w:rsidR="00000000" w:rsidRPr="00000000">
              <w:rPr>
                <w:rtl w:val="0"/>
              </w:rPr>
            </w:r>
          </w:p>
        </w:tc>
        <w:tc>
          <w:tcPr>
            <w:shd w:fill="efefef" w:val="clear"/>
            <w:tcMar>
              <w:bottom w:w="0.0" w:type="dxa"/>
            </w:tcMar>
          </w:tcPr>
          <w:p w:rsidR="00000000" w:rsidDel="00000000" w:rsidP="00000000" w:rsidRDefault="00000000" w:rsidRPr="00000000" w14:paraId="00000003">
            <w:pPr>
              <w:rPr/>
            </w:pPr>
            <w:r w:rsidDel="00000000" w:rsidR="00000000" w:rsidRPr="00000000">
              <w:rPr>
                <w:rFonts w:ascii="Lato Black" w:cs="Lato Black" w:eastAsia="Lato Black" w:hAnsi="Lato Black"/>
                <w:b w:val="1"/>
                <w:rtl w:val="0"/>
              </w:rPr>
              <w:t xml:space="preserve">Status: </w:t>
            </w:r>
            <w:r w:rsidDel="00000000" w:rsidR="00000000" w:rsidRPr="00000000">
              <w:rPr>
                <w:rFonts w:ascii="Lato" w:cs="Lato" w:eastAsia="Lato" w:hAnsi="Lato"/>
                <w:rtl w:val="0"/>
              </w:rPr>
              <w:t xml:space="preserve">ADOPTED</w:t>
            </w:r>
            <w:r w:rsidDel="00000000" w:rsidR="00000000" w:rsidRPr="00000000">
              <w:rPr>
                <w:rtl w:val="0"/>
              </w:rPr>
            </w:r>
          </w:p>
        </w:tc>
      </w:tr>
      <w:tr>
        <w:trPr>
          <w:cantSplit w:val="0"/>
          <w:tblHeader w:val="0"/>
        </w:trPr>
        <w:tc>
          <w:tcPr>
            <w:shd w:fill="efefef" w:val="clear"/>
            <w:tcMar>
              <w:bottom w:w="0.0" w:type="dxa"/>
            </w:tcMar>
          </w:tcPr>
          <w:p w:rsidR="00000000" w:rsidDel="00000000" w:rsidP="00000000" w:rsidRDefault="00000000" w:rsidRPr="00000000" w14:paraId="00000004">
            <w:pPr>
              <w:rPr/>
            </w:pPr>
            <w:r w:rsidDel="00000000" w:rsidR="00000000" w:rsidRPr="00000000">
              <w:rPr>
                <w:rFonts w:ascii="Lato Black" w:cs="Lato Black" w:eastAsia="Lato Black" w:hAnsi="Lato Black"/>
                <w:b w:val="1"/>
                <w:sz w:val="18"/>
                <w:szCs w:val="18"/>
                <w:rtl w:val="0"/>
              </w:rPr>
              <w:t xml:space="preserve">Original Adopted Date: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Revised: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Reviewed: </w:t>
            </w:r>
            <w:r w:rsidDel="00000000" w:rsidR="00000000" w:rsidRPr="00000000">
              <w:rPr>
                <w:rFonts w:ascii="Lato" w:cs="Lato" w:eastAsia="Lato" w:hAnsi="Lato"/>
                <w:sz w:val="18"/>
                <w:szCs w:val="18"/>
                <w:rtl w:val="0"/>
              </w:rPr>
              <w:t xml:space="preserve">03/20/2024</w:t>
            </w:r>
            <w:r w:rsidDel="00000000" w:rsidR="00000000" w:rsidRPr="00000000">
              <w:rPr>
                <w:rtl w:val="0"/>
              </w:rPr>
            </w:r>
          </w:p>
        </w:tc>
        <w:tc>
          <w:tcPr>
            <w:shd w:fill="efefef" w:val="clear"/>
            <w:tcMar>
              <w:bottom w:w="0.0" w:type="dxa"/>
            </w:tcMar>
          </w:tcPr>
          <w:p w:rsidR="00000000" w:rsidDel="00000000" w:rsidP="00000000" w:rsidRDefault="00000000" w:rsidRPr="00000000" w14:paraId="00000005">
            <w:pPr>
              <w:spacing w:after="0" w:lineRule="auto"/>
              <w:rPr/>
            </w:pPr>
            <w:r w:rsidDel="00000000" w:rsidR="00000000" w:rsidRPr="00000000">
              <w:rPr>
                <w:rtl w:val="0"/>
              </w:rPr>
            </w:r>
          </w:p>
        </w:tc>
      </w:tr>
    </w:tbl>
    <w:p w:rsidR="00000000" w:rsidDel="00000000" w:rsidP="00000000" w:rsidRDefault="00000000" w:rsidRPr="00000000" w14:paraId="00000006">
      <w:pPr>
        <w:spacing w:after="30" w:lineRule="auto"/>
        <w:jc w:val="right"/>
        <w:rPr/>
      </w:pPr>
      <w:r w:rsidDel="00000000" w:rsidR="00000000" w:rsidRPr="00000000">
        <w:rPr>
          <w:rtl w:val="0"/>
        </w:rPr>
      </w:r>
    </w:p>
    <w:p w:rsidR="00000000" w:rsidDel="00000000" w:rsidP="00000000" w:rsidRDefault="00000000" w:rsidRPr="00000000" w14:paraId="00000007">
      <w:pPr>
        <w:rPr>
          <w:rFonts w:ascii="Lato" w:cs="Lato" w:eastAsia="Lato" w:hAnsi="Lato"/>
        </w:rPr>
      </w:pPr>
      <w:bookmarkStart w:colFirst="0" w:colLast="0" w:name="_heading=h.gjdgxs" w:id="0"/>
      <w:bookmarkEnd w:id="0"/>
      <w:r w:rsidDel="00000000" w:rsidR="00000000" w:rsidRPr="00000000">
        <w:rPr>
          <w:rFonts w:ascii="Lato" w:cs="Lato" w:eastAsia="Lato" w:hAnsi="Lato"/>
          <w:rtl w:val="0"/>
        </w:rPr>
        <w:t xml:space="preserve">Public notice will be given for meetings and work sessions held by the Tri-County board.  Public notice will indicate the time, place, date and tentative agenda of board meetings. The public notice will be posted in a  prominent place clearly designated for posting agendas in the central administration office, and on an exterior facing door/window so that community members may see the agenda when the building is physically closed.  The agenda will be posted  at least  </w:t>
      </w:r>
      <w:r w:rsidDel="00000000" w:rsidR="00000000" w:rsidRPr="00000000">
        <w:rPr>
          <w:rFonts w:ascii="Lato" w:cs="Lato" w:eastAsia="Lato" w:hAnsi="Lato"/>
          <w:rtl w:val="0"/>
        </w:rPr>
        <w:t xml:space="preserve"> </w:t>
      </w:r>
      <w:r w:rsidDel="00000000" w:rsidR="00000000" w:rsidRPr="00000000">
        <w:rPr>
          <w:rFonts w:ascii="Lato" w:cs="Lato" w:eastAsia="Lato" w:hAnsi="Lato"/>
          <w:u w:val="single"/>
          <w:rtl w:val="0"/>
        </w:rPr>
        <w:t xml:space="preserve">    1   </w:t>
      </w:r>
      <w:r w:rsidDel="00000000" w:rsidR="00000000" w:rsidRPr="00000000">
        <w:rPr>
          <w:rFonts w:ascii="Lato" w:cs="Lato" w:eastAsia="Lato" w:hAnsi="Lato"/>
          <w:rtl w:val="0"/>
        </w:rPr>
        <w:t xml:space="preserve"> day before it is scheduled, but, at the minimum, twenty-four hours notice needs to be given.</w:t>
        <w:br w:type="textWrapping"/>
        <w:br w:type="textWrapping"/>
        <w:t xml:space="preserve">A copy of the public notice will be provided to those who have filed a request for notice with the secretary.  A copy of the public notice will also be accessible to employees and students.</w:t>
        <w:br w:type="textWrapping"/>
        <w:br w:type="textWrapping"/>
        <w:t xml:space="preserve">In the case of special meetings, public notice will be given in the same manner as for a regular meeting unless it is an emergency meeting.  In that case, public notice of the meeting will be given as soon as practical and possible in light of the situation.  The media and others who have requested notice will be notified of the emergency meeting. Attendance at a special meeting or emergency meeting by the media or board members will constitute a waiver of notice.</w:t>
        <w:br w:type="textWrapping"/>
        <w:br w:type="textWrapping"/>
        <w:t xml:space="preserve">It is the responsibility of the board secretary to give public notice of board meetings and work sessions.</w:t>
      </w:r>
      <w:r w:rsidDel="00000000" w:rsidR="00000000" w:rsidRPr="00000000">
        <w:rPr>
          <w:rFonts w:ascii="Lato" w:cs="Lato" w:eastAsia="Lato" w:hAnsi="Lato"/>
          <w:rtl w:val="0"/>
        </w:rPr>
        <w:br w:type="textWrapping"/>
        <w:br w:type="textWrapping"/>
        <w:t xml:space="preserve">  </w:t>
      </w:r>
    </w:p>
    <w:tbl>
      <w:tblPr>
        <w:tblStyle w:val="Table2"/>
        <w:tblW w:w="10500.0" w:type="dxa"/>
        <w:jc w:val="left"/>
        <w:tblLayout w:type="fixed"/>
        <w:tblLook w:val="0400"/>
      </w:tblPr>
      <w:tblGrid>
        <w:gridCol w:w="1875"/>
        <w:gridCol w:w="8625"/>
        <w:tblGridChange w:id="0">
          <w:tblGrid>
            <w:gridCol w:w="1875"/>
            <w:gridCol w:w="8625"/>
          </w:tblGrid>
        </w:tblGridChange>
      </w:tblGrid>
      <w:tr>
        <w:trPr>
          <w:cantSplit w:val="0"/>
          <w:tblHeader w:val="0"/>
        </w:trPr>
        <w:tc>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Legal Reference:</w:t>
            </w:r>
          </w:p>
        </w:tc>
        <w:tc>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i w:val="1"/>
                <w:u w:val="single"/>
                <w:rtl w:val="0"/>
              </w:rPr>
              <w:t xml:space="preserve">Dobrovolny v. Reinhardt</w:t>
            </w:r>
            <w:r w:rsidDel="00000000" w:rsidR="00000000" w:rsidRPr="00000000">
              <w:rPr>
                <w:rFonts w:ascii="Lato" w:cs="Lato" w:eastAsia="Lato" w:hAnsi="Lato"/>
                <w:rtl w:val="0"/>
              </w:rPr>
              <w:t xml:space="preserve">, 173 N.W.2d 837 (Iowa 1970).</w:t>
              <w:br w:type="textWrapping"/>
              <w:t xml:space="preserve">Iowa Code §§ 21.2-.4; 279.1, .2.</w:t>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bottom w:color="000000" w:space="1" w:sz="5" w:val="single"/>
        </w:pBdr>
        <w:rPr/>
      </w:pPr>
      <w:r w:rsidDel="00000000" w:rsidR="00000000" w:rsidRPr="00000000">
        <w:rPr>
          <w:rtl w:val="0"/>
        </w:rPr>
      </w:r>
    </w:p>
    <w:tbl>
      <w:tblPr>
        <w:tblStyle w:val="Table3"/>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0C">
            <w:pPr>
              <w:spacing w:after="0" w:lineRule="auto"/>
              <w:rPr/>
            </w:pPr>
            <w:r w:rsidDel="00000000" w:rsidR="00000000" w:rsidRPr="00000000">
              <w:rPr>
                <w:rFonts w:ascii="Lato Black" w:cs="Lato Black" w:eastAsia="Lato Black" w:hAnsi="Lato Black"/>
                <w:b w:val="1"/>
                <w:rtl w:val="0"/>
              </w:rPr>
              <w:t xml:space="preserve">I.C. Iowa Code</w:t>
            </w:r>
            <w:r w:rsidDel="00000000" w:rsidR="00000000" w:rsidRPr="00000000">
              <w:rPr>
                <w:rtl w:val="0"/>
              </w:rPr>
            </w:r>
          </w:p>
        </w:tc>
        <w:tc>
          <w:tcPr>
            <w:tcMar>
              <w:top w:w="0.0" w:type="dxa"/>
              <w:bottom w:w="0.0" w:type="dxa"/>
            </w:tcMar>
          </w:tcPr>
          <w:p w:rsidR="00000000" w:rsidDel="00000000" w:rsidP="00000000" w:rsidRDefault="00000000" w:rsidRPr="00000000" w14:paraId="0000000D">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0E">
            <w:pPr>
              <w:spacing w:after="0" w:lineRule="auto"/>
              <w:rPr/>
            </w:pPr>
            <w:r w:rsidDel="00000000" w:rsidR="00000000" w:rsidRPr="00000000">
              <w:rPr>
                <w:rFonts w:ascii="Lato" w:cs="Lato" w:eastAsia="Lato" w:hAnsi="Lato"/>
                <w:rtl w:val="0"/>
              </w:rPr>
              <w:t xml:space="preserve">Iowa Code  § 21.2</w:t>
            </w:r>
            <w:r w:rsidDel="00000000" w:rsidR="00000000" w:rsidRPr="00000000">
              <w:rPr>
                <w:rtl w:val="0"/>
              </w:rPr>
            </w:r>
          </w:p>
        </w:tc>
        <w:tc>
          <w:tcPr>
            <w:tcMar>
              <w:top w:w="0.0" w:type="dxa"/>
              <w:bottom w:w="0.0" w:type="dxa"/>
            </w:tcMar>
          </w:tcPr>
          <w:p w:rsidR="00000000" w:rsidDel="00000000" w:rsidP="00000000" w:rsidRDefault="00000000" w:rsidRPr="00000000" w14:paraId="0000000F">
            <w:pPr>
              <w:rPr/>
            </w:pPr>
            <w:hyperlink r:id="rId7">
              <w:r w:rsidDel="00000000" w:rsidR="00000000" w:rsidRPr="00000000">
                <w:rPr>
                  <w:rFonts w:ascii="Lato" w:cs="Lato" w:eastAsia="Lato" w:hAnsi="Lato"/>
                  <w:color w:val="0563c1"/>
                  <w:u w:val="single"/>
                  <w:rtl w:val="0"/>
                </w:rPr>
                <w:t xml:space="preserve">Open Meetings - Definitions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0">
            <w:pPr>
              <w:spacing w:after="0" w:lineRule="auto"/>
              <w:rPr/>
            </w:pPr>
            <w:r w:rsidDel="00000000" w:rsidR="00000000" w:rsidRPr="00000000">
              <w:rPr>
                <w:rFonts w:ascii="Lato" w:cs="Lato" w:eastAsia="Lato" w:hAnsi="Lato"/>
                <w:rtl w:val="0"/>
              </w:rPr>
              <w:t xml:space="preserve">Iowa Code  § 21.3</w:t>
            </w:r>
            <w:r w:rsidDel="00000000" w:rsidR="00000000" w:rsidRPr="00000000">
              <w:rPr>
                <w:rtl w:val="0"/>
              </w:rPr>
            </w:r>
          </w:p>
        </w:tc>
        <w:tc>
          <w:tcPr>
            <w:tcMar>
              <w:top w:w="0.0" w:type="dxa"/>
              <w:bottom w:w="0.0" w:type="dxa"/>
            </w:tcMar>
          </w:tcPr>
          <w:p w:rsidR="00000000" w:rsidDel="00000000" w:rsidP="00000000" w:rsidRDefault="00000000" w:rsidRPr="00000000" w14:paraId="00000011">
            <w:pPr>
              <w:rPr/>
            </w:pPr>
            <w:hyperlink r:id="rId8">
              <w:r w:rsidDel="00000000" w:rsidR="00000000" w:rsidRPr="00000000">
                <w:rPr>
                  <w:rFonts w:ascii="Lato" w:cs="Lato" w:eastAsia="Lato" w:hAnsi="Lato"/>
                  <w:color w:val="0563c1"/>
                  <w:u w:val="single"/>
                  <w:rtl w:val="0"/>
                </w:rPr>
                <w:t xml:space="preserve">Meetings of Governmental Bodies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2">
            <w:pPr>
              <w:spacing w:after="0" w:lineRule="auto"/>
              <w:rPr/>
            </w:pPr>
            <w:r w:rsidDel="00000000" w:rsidR="00000000" w:rsidRPr="00000000">
              <w:rPr>
                <w:rFonts w:ascii="Lato" w:cs="Lato" w:eastAsia="Lato" w:hAnsi="Lato"/>
                <w:rtl w:val="0"/>
              </w:rPr>
              <w:t xml:space="preserve">Iowa Code  § 21.4</w:t>
            </w:r>
            <w:r w:rsidDel="00000000" w:rsidR="00000000" w:rsidRPr="00000000">
              <w:rPr>
                <w:rtl w:val="0"/>
              </w:rPr>
            </w:r>
          </w:p>
        </w:tc>
        <w:tc>
          <w:tcPr>
            <w:tcMar>
              <w:top w:w="0.0" w:type="dxa"/>
              <w:bottom w:w="0.0" w:type="dxa"/>
            </w:tcMar>
          </w:tcPr>
          <w:p w:rsidR="00000000" w:rsidDel="00000000" w:rsidP="00000000" w:rsidRDefault="00000000" w:rsidRPr="00000000" w14:paraId="00000013">
            <w:pPr>
              <w:rPr/>
            </w:pPr>
            <w:hyperlink r:id="rId9">
              <w:r w:rsidDel="00000000" w:rsidR="00000000" w:rsidRPr="00000000">
                <w:rPr>
                  <w:rFonts w:ascii="Lato" w:cs="Lato" w:eastAsia="Lato" w:hAnsi="Lato"/>
                  <w:color w:val="0563c1"/>
                  <w:u w:val="single"/>
                  <w:rtl w:val="0"/>
                </w:rPr>
                <w:t xml:space="preserve">Public Notice</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4">
            <w:pPr>
              <w:spacing w:after="0" w:lineRule="auto"/>
              <w:rPr/>
            </w:pPr>
            <w:r w:rsidDel="00000000" w:rsidR="00000000" w:rsidRPr="00000000">
              <w:rPr>
                <w:rFonts w:ascii="Lato" w:cs="Lato" w:eastAsia="Lato" w:hAnsi="Lato"/>
                <w:rtl w:val="0"/>
              </w:rPr>
              <w:t xml:space="preserve">Iowa Code  § 279.2</w:t>
            </w:r>
            <w:r w:rsidDel="00000000" w:rsidR="00000000" w:rsidRPr="00000000">
              <w:rPr>
                <w:rtl w:val="0"/>
              </w:rPr>
            </w:r>
          </w:p>
        </w:tc>
        <w:tc>
          <w:tcPr>
            <w:tcMar>
              <w:top w:w="0.0" w:type="dxa"/>
              <w:bottom w:w="0.0" w:type="dxa"/>
            </w:tcMar>
          </w:tcPr>
          <w:p w:rsidR="00000000" w:rsidDel="00000000" w:rsidP="00000000" w:rsidRDefault="00000000" w:rsidRPr="00000000" w14:paraId="00000015">
            <w:pPr>
              <w:rPr/>
            </w:pPr>
            <w:hyperlink r:id="rId10">
              <w:r w:rsidDel="00000000" w:rsidR="00000000" w:rsidRPr="00000000">
                <w:rPr>
                  <w:rFonts w:ascii="Lato" w:cs="Lato" w:eastAsia="Lato" w:hAnsi="Lato"/>
                  <w:color w:val="0563c1"/>
                  <w:u w:val="single"/>
                  <w:rtl w:val="0"/>
                </w:rPr>
                <w:t xml:space="preserve">Directors - Powers and Duties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6">
            <w:pPr>
              <w:spacing w:after="0" w:lineRule="auto"/>
              <w:rPr/>
            </w:pPr>
            <w:r w:rsidDel="00000000" w:rsidR="00000000" w:rsidRPr="00000000">
              <w:rPr>
                <w:rFonts w:ascii="Lato" w:cs="Lato" w:eastAsia="Lato" w:hAnsi="Lato"/>
                <w:rtl w:val="0"/>
              </w:rPr>
              <w:t xml:space="preserve">Iowa Code § 279.1</w:t>
            </w:r>
            <w:r w:rsidDel="00000000" w:rsidR="00000000" w:rsidRPr="00000000">
              <w:rPr>
                <w:rtl w:val="0"/>
              </w:rPr>
            </w:r>
          </w:p>
        </w:tc>
        <w:tc>
          <w:tcPr>
            <w:tcMar>
              <w:top w:w="0.0" w:type="dxa"/>
              <w:bottom w:w="0.0" w:type="dxa"/>
            </w:tcMar>
          </w:tcPr>
          <w:p w:rsidR="00000000" w:rsidDel="00000000" w:rsidP="00000000" w:rsidRDefault="00000000" w:rsidRPr="00000000" w14:paraId="00000017">
            <w:pPr>
              <w:rPr/>
            </w:pPr>
            <w:hyperlink r:id="rId11">
              <w:r w:rsidDel="00000000" w:rsidR="00000000" w:rsidRPr="00000000">
                <w:rPr>
                  <w:rFonts w:ascii="Lato" w:cs="Lato" w:eastAsia="Lato" w:hAnsi="Lato"/>
                  <w:color w:val="0563c1"/>
                  <w:u w:val="single"/>
                  <w:rtl w:val="0"/>
                </w:rPr>
                <w:t xml:space="preserve">Directors - Powers and Duties - Organization-Student Improvement Oversight</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8">
            <w:pPr>
              <w:spacing w:after="0" w:lineRule="auto"/>
              <w:rPr/>
            </w:pPr>
            <w:r w:rsidDel="00000000" w:rsidR="00000000" w:rsidRPr="00000000">
              <w:rPr>
                <w:rFonts w:ascii="Lato Black" w:cs="Lato Black" w:eastAsia="Lato Black" w:hAnsi="Lato Black"/>
                <w:b w:val="1"/>
                <w:rtl w:val="0"/>
              </w:rPr>
              <w:t xml:space="preserve">Case Law</w:t>
            </w:r>
            <w:r w:rsidDel="00000000" w:rsidR="00000000" w:rsidRPr="00000000">
              <w:rPr>
                <w:rtl w:val="0"/>
              </w:rPr>
            </w:r>
          </w:p>
        </w:tc>
        <w:tc>
          <w:tcPr>
            <w:tcMar>
              <w:top w:w="0.0" w:type="dxa"/>
              <w:bottom w:w="0.0" w:type="dxa"/>
            </w:tcMar>
          </w:tcPr>
          <w:p w:rsidR="00000000" w:rsidDel="00000000" w:rsidP="00000000" w:rsidRDefault="00000000" w:rsidRPr="00000000" w14:paraId="00000019">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A">
            <w:pPr>
              <w:spacing w:after="0" w:lineRule="auto"/>
              <w:rPr/>
            </w:pPr>
            <w:r w:rsidDel="00000000" w:rsidR="00000000" w:rsidRPr="00000000">
              <w:rPr>
                <w:rFonts w:ascii="Lato" w:cs="Lato" w:eastAsia="Lato" w:hAnsi="Lato"/>
                <w:rtl w:val="0"/>
              </w:rPr>
              <w:t xml:space="preserve">Dobrovolny v. Reinhardt</w:t>
            </w:r>
            <w:r w:rsidDel="00000000" w:rsidR="00000000" w:rsidRPr="00000000">
              <w:rPr>
                <w:rtl w:val="0"/>
              </w:rPr>
            </w:r>
          </w:p>
        </w:tc>
        <w:tc>
          <w:tcPr>
            <w:tcMar>
              <w:top w:w="0.0" w:type="dxa"/>
              <w:bottom w:w="0.0" w:type="dxa"/>
            </w:tcMar>
          </w:tcPr>
          <w:p w:rsidR="00000000" w:rsidDel="00000000" w:rsidP="00000000" w:rsidRDefault="00000000" w:rsidRPr="00000000" w14:paraId="0000001B">
            <w:pPr>
              <w:rPr/>
            </w:pPr>
            <w:r w:rsidDel="00000000" w:rsidR="00000000" w:rsidRPr="00000000">
              <w:rPr>
                <w:rFonts w:ascii="Lato" w:cs="Lato" w:eastAsia="Lato" w:hAnsi="Lato"/>
                <w:rtl w:val="0"/>
              </w:rPr>
              <w:t xml:space="preserve">173 N.W. 2d 837 (Iowa 1970)</w:t>
            </w:r>
            <w:r w:rsidDel="00000000" w:rsidR="00000000" w:rsidRPr="00000000">
              <w:rPr>
                <w:rtl w:val="0"/>
              </w:rPr>
            </w:r>
          </w:p>
        </w:tc>
      </w:tr>
    </w:tbl>
    <w:p w:rsidR="00000000" w:rsidDel="00000000" w:rsidP="00000000" w:rsidRDefault="00000000" w:rsidRPr="00000000" w14:paraId="0000001C">
      <w:pPr>
        <w:shd w:fill="f9f9f9" w:val="clear"/>
        <w:spacing w:line="480" w:lineRule="auto"/>
        <w:rPr>
          <w:rFonts w:ascii="Lato Black" w:cs="Lato Black" w:eastAsia="Lato Black" w:hAnsi="Lato Black"/>
          <w:b w:val="1"/>
        </w:rPr>
      </w:pPr>
      <w:r w:rsidDel="00000000" w:rsidR="00000000" w:rsidRPr="00000000">
        <w:rPr>
          <w:rFonts w:ascii="Lato Black" w:cs="Lato Black" w:eastAsia="Lato Black" w:hAnsi="Lato Black"/>
          <w:b w:val="1"/>
          <w:rtl w:val="0"/>
        </w:rPr>
        <w:t xml:space="preserve">Cross References</w:t>
      </w:r>
    </w:p>
    <w:tbl>
      <w:tblPr>
        <w:tblStyle w:val="Table4"/>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1D">
            <w:pPr>
              <w:spacing w:after="0" w:lineRule="auto"/>
              <w:rPr/>
            </w:pPr>
            <w:r w:rsidDel="00000000" w:rsidR="00000000" w:rsidRPr="00000000">
              <w:rPr>
                <w:rFonts w:ascii="Lato Black" w:cs="Lato Black" w:eastAsia="Lato Black" w:hAnsi="Lato Black"/>
                <w:b w:val="1"/>
                <w:rtl w:val="0"/>
              </w:rPr>
              <w:t xml:space="preserve">Code</w:t>
            </w:r>
            <w:r w:rsidDel="00000000" w:rsidR="00000000" w:rsidRPr="00000000">
              <w:rPr>
                <w:rtl w:val="0"/>
              </w:rPr>
            </w:r>
          </w:p>
        </w:tc>
        <w:tc>
          <w:tcPr>
            <w:tcMar>
              <w:top w:w="0.0" w:type="dxa"/>
              <w:bottom w:w="0.0" w:type="dxa"/>
            </w:tcMar>
          </w:tcPr>
          <w:p w:rsidR="00000000" w:rsidDel="00000000" w:rsidP="00000000" w:rsidRDefault="00000000" w:rsidRPr="00000000" w14:paraId="0000001E">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F">
            <w:pPr>
              <w:spacing w:after="0" w:lineRule="auto"/>
              <w:rPr/>
            </w:pPr>
            <w:r w:rsidDel="00000000" w:rsidR="00000000" w:rsidRPr="00000000">
              <w:rPr>
                <w:rFonts w:ascii="Lato" w:cs="Lato" w:eastAsia="Lato" w:hAnsi="Lato"/>
                <w:rtl w:val="0"/>
              </w:rPr>
              <w:t xml:space="preserve">210.08</w:t>
            </w:r>
            <w:r w:rsidDel="00000000" w:rsidR="00000000" w:rsidRPr="00000000">
              <w:rPr>
                <w:rtl w:val="0"/>
              </w:rPr>
            </w:r>
          </w:p>
        </w:tc>
        <w:tc>
          <w:tcPr>
            <w:tcMar>
              <w:top w:w="0.0" w:type="dxa"/>
              <w:bottom w:w="0.0" w:type="dxa"/>
            </w:tcMar>
          </w:tcPr>
          <w:p w:rsidR="00000000" w:rsidDel="00000000" w:rsidP="00000000" w:rsidRDefault="00000000" w:rsidRPr="00000000" w14:paraId="00000020">
            <w:pPr>
              <w:rPr/>
            </w:pPr>
            <w:hyperlink r:id="rId12">
              <w:r w:rsidDel="00000000" w:rsidR="00000000" w:rsidRPr="00000000">
                <w:rPr>
                  <w:rFonts w:ascii="Lato" w:cs="Lato" w:eastAsia="Lato" w:hAnsi="Lato"/>
                  <w:color w:val="0563c1"/>
                  <w:u w:val="single"/>
                  <w:rtl w:val="0"/>
                </w:rPr>
                <w:t xml:space="preserve">Board Meeting Agenda</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1">
            <w:pPr>
              <w:spacing w:after="0" w:lineRule="auto"/>
              <w:rPr/>
            </w:pPr>
            <w:r w:rsidDel="00000000" w:rsidR="00000000" w:rsidRPr="00000000">
              <w:rPr>
                <w:rFonts w:ascii="Lato" w:cs="Lato" w:eastAsia="Lato" w:hAnsi="Lato"/>
                <w:rtl w:val="0"/>
              </w:rPr>
              <w:t xml:space="preserve">210.08-EH(1)</w:t>
            </w:r>
            <w:r w:rsidDel="00000000" w:rsidR="00000000" w:rsidRPr="00000000">
              <w:rPr>
                <w:rtl w:val="0"/>
              </w:rPr>
            </w:r>
          </w:p>
        </w:tc>
        <w:tc>
          <w:tcPr>
            <w:tcMar>
              <w:top w:w="0.0" w:type="dxa"/>
              <w:bottom w:w="0.0" w:type="dxa"/>
            </w:tcMar>
          </w:tcPr>
          <w:p w:rsidR="00000000" w:rsidDel="00000000" w:rsidP="00000000" w:rsidRDefault="00000000" w:rsidRPr="00000000" w14:paraId="00000022">
            <w:pPr>
              <w:rPr/>
            </w:pPr>
            <w:hyperlink r:id="rId13">
              <w:r w:rsidDel="00000000" w:rsidR="00000000" w:rsidRPr="00000000">
                <w:rPr>
                  <w:rFonts w:ascii="Lato" w:cs="Lato" w:eastAsia="Lato" w:hAnsi="Lato"/>
                  <w:color w:val="0563c1"/>
                  <w:u w:val="single"/>
                  <w:rtl w:val="0"/>
                </w:rPr>
                <w:t xml:space="preserve">Board Meeting Agenda - Example</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3">
            <w:pPr>
              <w:spacing w:after="0" w:lineRule="auto"/>
              <w:rPr/>
            </w:pPr>
            <w:r w:rsidDel="00000000" w:rsidR="00000000" w:rsidRPr="00000000">
              <w:rPr>
                <w:rFonts w:ascii="Lato" w:cs="Lato" w:eastAsia="Lato" w:hAnsi="Lato"/>
                <w:rtl w:val="0"/>
              </w:rPr>
              <w:t xml:space="preserve">210.08-EH(2)</w:t>
            </w:r>
            <w:r w:rsidDel="00000000" w:rsidR="00000000" w:rsidRPr="00000000">
              <w:rPr>
                <w:rtl w:val="0"/>
              </w:rPr>
            </w:r>
          </w:p>
        </w:tc>
        <w:tc>
          <w:tcPr>
            <w:tcMar>
              <w:top w:w="0.0" w:type="dxa"/>
              <w:bottom w:w="0.0" w:type="dxa"/>
            </w:tcMar>
          </w:tcPr>
          <w:p w:rsidR="00000000" w:rsidDel="00000000" w:rsidP="00000000" w:rsidRDefault="00000000" w:rsidRPr="00000000" w14:paraId="00000024">
            <w:pPr>
              <w:rPr/>
            </w:pPr>
            <w:hyperlink r:id="rId14">
              <w:r w:rsidDel="00000000" w:rsidR="00000000" w:rsidRPr="00000000">
                <w:rPr>
                  <w:rFonts w:ascii="Lato" w:cs="Lato" w:eastAsia="Lato" w:hAnsi="Lato"/>
                  <w:color w:val="0563c1"/>
                  <w:u w:val="single"/>
                  <w:rtl w:val="0"/>
                </w:rPr>
                <w:t xml:space="preserve">Board Meeting Agenda - Example (with closed session)</w:t>
              </w:r>
            </w:hyperlink>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sectPr>
      <w:pgSz w:h="15840" w:w="12240" w:orient="portrait"/>
      <w:pgMar w:bottom="402" w:top="617" w:left="1434" w:right="12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basedOn w:val="DefaultParagraphFont"/>
    <w:uiPriority w:val="20"/>
    <w:qFormat w:val="1"/>
    <w:rPr>
      <w:i w:val="1"/>
      <w:iCs w:val="1"/>
    </w:rPr>
  </w:style>
  <w:style w:type="character" w:styleId="Strong">
    <w:name w:val="Strong"/>
    <w:basedOn w:val="DefaultParagraphFont"/>
    <w:uiPriority w:val="22"/>
    <w:qFormat w:val="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 w:type="dxa"/>
        <w:bottom w:w="0.0" w:type="dxa"/>
        <w:right w:w="10.0" w:type="dxa"/>
      </w:tblCellMar>
    </w:tblPr>
  </w:style>
  <w:style w:type="table" w:styleId="Table2">
    <w:basedOn w:val="TableNormal"/>
    <w:tblPr>
      <w:tblStyleRowBandSize w:val="1"/>
      <w:tblStyleColBandSize w:val="1"/>
      <w:tblCellMar>
        <w:top w:w="45.0" w:type="dxa"/>
        <w:left w:w="45.0" w:type="dxa"/>
        <w:bottom w:w="45.0" w:type="dxa"/>
        <w:right w:w="4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egis.iowa.gov/docs/code/279.1.pdf" TargetMode="External"/><Relationship Id="rId10" Type="http://schemas.openxmlformats.org/officeDocument/2006/relationships/hyperlink" Target="https://www.legis.iowa.gov/docs/code/279.2.pdf" TargetMode="External"/><Relationship Id="rId13" Type="http://schemas.openxmlformats.org/officeDocument/2006/relationships/hyperlink" Target="https://simbli.eboardsolutions.com/Policy/ViewPolicy.aspx?S=36031104&amp;revid=B4SNgfplusplusJHf7eLUUoy01PQ==" TargetMode="External"/><Relationship Id="rId12" Type="http://schemas.openxmlformats.org/officeDocument/2006/relationships/hyperlink" Target="https://simbli.eboardsolutions.com/Policy/ViewPolicy.aspx?S=36031104&amp;revid=U8dyFduVgDjsXbrsyhVslshD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iowa.gov/docs/code/21.4.pdf" TargetMode="External"/><Relationship Id="rId14" Type="http://schemas.openxmlformats.org/officeDocument/2006/relationships/hyperlink" Target="https://simbli.eboardsolutions.com/Policy/ViewPolicy.aspx?S=36031104&amp;revid=GSUlF8Huj1HWanBJ0ND8S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iowa.gov/docs/code/21.2.pdf" TargetMode="External"/><Relationship Id="rId8" Type="http://schemas.openxmlformats.org/officeDocument/2006/relationships/hyperlink" Target="https://www.legis.iowa.gov/docs/code/21.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YE3ILTbq0UhHOwc4k79rY5GF+A==">CgMxLjAyCGguZ2pkZ3hzOAByITE5SksxQmRwVjF0bGJUckpxMjBvSWRmSnM1Z1MwUXZraw==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2024-02-14T20:04:00Z</dcterms:created>
  <dc:creator>Linda Heisdorffer</dc:creator>
</cp:coreProperties>
</file>